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0" w:rsidRPr="001A25D0" w:rsidRDefault="001A25D0" w:rsidP="001A25D0"/>
    <w:p w:rsidR="001A25D0" w:rsidRPr="001A25D0" w:rsidRDefault="001A25D0" w:rsidP="001A25D0"/>
    <w:tbl>
      <w:tblPr>
        <w:tblStyle w:val="TableGrid"/>
        <w:bidiVisual/>
        <w:tblW w:w="15120" w:type="dxa"/>
        <w:tblInd w:w="-910" w:type="dxa"/>
        <w:tblLook w:val="0000" w:firstRow="0" w:lastRow="0" w:firstColumn="0" w:lastColumn="0" w:noHBand="0" w:noVBand="0"/>
      </w:tblPr>
      <w:tblGrid>
        <w:gridCol w:w="1260"/>
        <w:gridCol w:w="630"/>
        <w:gridCol w:w="4140"/>
        <w:gridCol w:w="2776"/>
        <w:gridCol w:w="3180"/>
        <w:gridCol w:w="935"/>
        <w:gridCol w:w="1027"/>
        <w:gridCol w:w="1172"/>
      </w:tblGrid>
      <w:tr w:rsidR="001A25D0" w:rsidTr="007A3B62">
        <w:trPr>
          <w:trHeight w:val="458"/>
        </w:trPr>
        <w:tc>
          <w:tcPr>
            <w:tcW w:w="15120" w:type="dxa"/>
            <w:gridSpan w:val="8"/>
          </w:tcPr>
          <w:p w:rsidR="001A25D0" w:rsidRPr="001A25D0" w:rsidRDefault="00121D52" w:rsidP="001A25D0">
            <w:pPr>
              <w:spacing w:after="160" w:line="259" w:lineRule="auto"/>
              <w:ind w:left="-5"/>
              <w:jc w:val="center"/>
              <w:rPr>
                <w:rFonts w:cs="B Titr"/>
                <w:rtl/>
              </w:rPr>
            </w:pPr>
            <w:r w:rsidRPr="00121D52">
              <w:rPr>
                <w:rFonts w:cs="B Titr" w:hint="cs"/>
                <w:rtl/>
              </w:rPr>
              <w:t>پایش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برنامه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ادغام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طب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ایرانی</w:t>
            </w:r>
            <w:r w:rsidRPr="00121D52">
              <w:rPr>
                <w:rFonts w:cs="B Titr"/>
                <w:rtl/>
              </w:rPr>
              <w:t xml:space="preserve"> . </w:t>
            </w:r>
            <w:r w:rsidRPr="00121D52">
              <w:rPr>
                <w:rFonts w:cs="B Titr" w:hint="cs"/>
                <w:rtl/>
              </w:rPr>
              <w:t>پایگاه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مراقب</w:t>
            </w:r>
            <w:r w:rsidRPr="00121D52">
              <w:rPr>
                <w:rFonts w:cs="B Titr"/>
                <w:rtl/>
              </w:rPr>
              <w:t xml:space="preserve"> </w:t>
            </w:r>
            <w:r w:rsidRPr="00121D52">
              <w:rPr>
                <w:rFonts w:cs="B Titr" w:hint="cs"/>
                <w:rtl/>
              </w:rPr>
              <w:t>سلامت</w:t>
            </w:r>
          </w:p>
        </w:tc>
      </w:tr>
      <w:tr w:rsidR="001A25D0" w:rsidTr="007A3B62">
        <w:trPr>
          <w:trHeight w:val="375"/>
        </w:trPr>
        <w:tc>
          <w:tcPr>
            <w:tcW w:w="15120" w:type="dxa"/>
            <w:gridSpan w:val="8"/>
          </w:tcPr>
          <w:p w:rsidR="001A25D0" w:rsidRPr="001A25D0" w:rsidRDefault="001A25D0" w:rsidP="001A25D0">
            <w:pPr>
              <w:jc w:val="center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دانشگاه شهید بهشتی شبکه بهداشت و درمان فیروزکوه</w:t>
            </w:r>
          </w:p>
        </w:tc>
      </w:tr>
      <w:tr w:rsidR="001A25D0" w:rsidTr="007A3B62">
        <w:trPr>
          <w:trHeight w:val="510"/>
        </w:trPr>
        <w:tc>
          <w:tcPr>
            <w:tcW w:w="1260" w:type="dxa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  <w:rtl/>
                <w:lang w:bidi="fa-IR"/>
              </w:rPr>
            </w:pPr>
            <w:r w:rsidRPr="001A25D0">
              <w:rPr>
                <w:rFonts w:cs="B Titr" w:hint="cs"/>
                <w:rtl/>
                <w:lang w:bidi="fa-IR"/>
              </w:rPr>
              <w:t>تاریخ پایش:</w:t>
            </w:r>
          </w:p>
        </w:tc>
        <w:tc>
          <w:tcPr>
            <w:tcW w:w="4770" w:type="dxa"/>
            <w:gridSpan w:val="2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پایش شونده:</w:t>
            </w:r>
          </w:p>
        </w:tc>
        <w:tc>
          <w:tcPr>
            <w:tcW w:w="2776" w:type="dxa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تکمیل کننده فرم:</w:t>
            </w:r>
          </w:p>
        </w:tc>
        <w:tc>
          <w:tcPr>
            <w:tcW w:w="6314" w:type="dxa"/>
            <w:gridSpan w:val="4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نام مرکز/پایگاه/خانه بهداشت:</w:t>
            </w:r>
          </w:p>
        </w:tc>
      </w:tr>
      <w:tr w:rsidR="00AA2BF9" w:rsidTr="007A3B62">
        <w:trPr>
          <w:trHeight w:val="300"/>
        </w:trPr>
        <w:tc>
          <w:tcPr>
            <w:tcW w:w="126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A2BF9">
              <w:rPr>
                <w:rFonts w:cs="B Titr" w:hint="cs"/>
                <w:sz w:val="20"/>
                <w:szCs w:val="20"/>
                <w:rtl/>
                <w:lang w:bidi="fa-IR"/>
              </w:rPr>
              <w:t>حیطه/برنامه</w:t>
            </w:r>
          </w:p>
        </w:tc>
        <w:tc>
          <w:tcPr>
            <w:tcW w:w="63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4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سوال/سنجه</w:t>
            </w:r>
          </w:p>
        </w:tc>
        <w:tc>
          <w:tcPr>
            <w:tcW w:w="2776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معیار/سنجش استاندارد</w:t>
            </w:r>
          </w:p>
        </w:tc>
        <w:tc>
          <w:tcPr>
            <w:tcW w:w="318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راهنما</w:t>
            </w:r>
          </w:p>
        </w:tc>
        <w:tc>
          <w:tcPr>
            <w:tcW w:w="935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027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غیرحضوری</w:t>
            </w:r>
          </w:p>
        </w:tc>
        <w:tc>
          <w:tcPr>
            <w:tcW w:w="1172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منابع 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امکانات، تجهیزات، لوازم و متون آموزشی لازم برای ارائه خدمت طب ایرانی در اختیار مراقب سلامت/ ماما می باشد؟ اگر هر یک از موارد را در اختیار ندارد. برای تامین آنها پیگیری کرده است.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راهنما(6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همه موارد زیر وجود داشته باشد یا تامین آن مورد پیگیری قرار گرفته باشد: آخرین دستورالعمل مربوطه و بسته های آموزشی (مراقب سلامت/بهورز)، بسته خدمت طب ایرانی، فایل موشن گرافی های آموزشی ، فایل پوستر و اینفوگرافی ها 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6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راهنما(4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vMerge w:val="restart"/>
            <w:noWrap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آیا پوسترها و اینفوگرافی ها در محل های مناسب نصب شده است؟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اقلام رسانه ای شامل پوسترها و اینفوگرافی ها در محل مناسب در دید مردم مراجعه کننده قرار بگیرد.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آمار و اطلاعات سلامت/ </w:t>
            </w: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lastRenderedPageBreak/>
              <w:t>پوشش خدمات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اطلاعات جمعیتی بالای 6 سال  تحت پوشش برنامه و زیر گروه های آن به تفکیک گروه های هدف  در دسترس است.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راهنما(4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 دسترس بودن تعداد جمعیت تحت پوشش برنامه به صورت پرینت یا فایل الکترونیکی شامل  جمعیت تحت پوشش بالای 6 سال و زیر گروه های سنی آن.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4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راهنما(3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شاخص های پوشش خدمات طب ایرانی محاسبه شده است.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گزارش خدمت طب ایرانی شاخص های پوشش شامل: درصد شناسنامه تکمیل شده بسته خدمت طب ایرانی  در جمعیت تحت پوشش بالای 6 سال، درصد پاسخهای قرمز (سبک زندگی ناسالم)، زرد ( نیاز به اصلاح سبک زندگی) و سبز ( زندگی سالم)</w:t>
            </w:r>
            <w:r w:rsidRPr="00DA0454">
              <w:rPr>
                <w:rFonts w:ascii="Calibri" w:eastAsia="Times New Roman" w:hAnsi="Calibri" w:cs="B Nazanin" w:hint="cs"/>
                <w:sz w:val="24"/>
                <w:szCs w:val="24"/>
                <w:u w:val="single"/>
                <w:rtl/>
              </w:rPr>
              <w:t xml:space="preserve"> برای هر سوال ب</w:t>
            </w: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سته خدمت طب ایرانی، و تغییر سوالات قرمز و زرد به سبز و سوالات قرمز به زرد در مراجعه های مجدددوم و سوم به صورت منظم در فواصل زمانی 6 ماهه از مسیر گزارش های دوره ای در دسترس باشد.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راهنما(7 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.</w:t>
            </w: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آموزشهای گروهی برنامه طب ایرانی با اولویت رابطین سلامت محله و</w:t>
            </w: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 xml:space="preserve"> </w:t>
            </w: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سفیران. سلامت</w:t>
            </w: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 xml:space="preserve">  </w:t>
            </w: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اجرا گردیده است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وجود برنامه زمان بندی آموزشهای گروهی برای حداقل 4 آموزش گروهی در هر 3 ماه،  و بررسی مستندات موجود 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پوشش خدمت طب ایرانی مطلوب است.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 (10امتیاز)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دستیابی به پوشش 25 درصد جمعیت بالای 6 سال در هر سال 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 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برای افزایش پوشش خدمت طب ایرانی مداخله ای انجام شده است.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مشاهده مستندات کتبی و میدانی که منجر به افزایش پوشش شده باشد مانند نصب بنر، تبلیغات میدانی 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پرونده الکترونیک سلامت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خدمات یک فرد بالای 6  سال  به صورت تصادفی انتخاب و بررسی شود که  مراقب سلامت ثبت اطلاعات، اقدامات، ارجاعات، بازخورد ارجاعات و پیگیری موارد نیازمند را را  به درستی انجام داده و علت و زمان مراجعه بعدی مشخص است. </w:t>
            </w:r>
            <w:bookmarkStart w:id="0" w:name="_GoBack"/>
            <w:bookmarkEnd w:id="0"/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حداقل موارد زیر به درستی انجام و در سامانه ثبت شده باشد: ثبت اطلاعات، ثبت اقدامات و ارجاعات، بازخورد ارجاعات و اقدام لازم بر اساس آن،، پیگیری ها، تاریخ مراجعه بعدی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انطباق نسبی 30 تا 70 درصد بر اساس راهنما(6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آموزش و توانمند سازی نیروی انسانی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آیا کارشناس مراقب سلامت/ بهورز در دوره آموزشی طب ایرانی ستاد شرکت نموده است؟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مشاهده مستندات کتبی شرکت در دوره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تاحدودی-انطباق نسبی 30 تا 70 درصد بر اساس راهنما(5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مورد ندارد.دوره توسط ستاد برگزار نشده است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دانش و مهارت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مراقب سلامت به بسته خدمت طب ایرانی و بسته های گروه های سنی که در آنها آموزه های طب ایرانی ادغام شده است   تسلط کافی دارد.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بلی(15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پرسش حداقل چهار سوال از بسته خدمت طب ایرانی یا بسته های گروه های سنی که ادغام آموزه های طب </w:t>
            </w: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ایرانی در آنها صورت گرفته است . بر اساس بانک سوالات (بر حسب تعداد مراقب سلامت، تعداد سوالات بین افراد تقسیم شود)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15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تاحدودی(5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6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خیر(0 امتیاز)</w:t>
            </w:r>
          </w:p>
        </w:tc>
        <w:tc>
          <w:tcPr>
            <w:tcW w:w="3180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 w:val="restart"/>
            <w:hideMark/>
          </w:tcPr>
          <w:p w:rsidR="007A3B62" w:rsidRPr="00DA0454" w:rsidRDefault="007A3B62" w:rsidP="007A3B62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ارتقای کیفیت، پایش و ارزشیابی</w:t>
            </w:r>
          </w:p>
        </w:tc>
        <w:tc>
          <w:tcPr>
            <w:tcW w:w="630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برای خدمت طب ایرانی، بر اساس بازخورد پایش کارشناس شهرستان اقدام مناسب انجام و پاسخ به شهرستان ارسال شده است. </w:t>
            </w:r>
          </w:p>
        </w:tc>
        <w:tc>
          <w:tcPr>
            <w:tcW w:w="2776" w:type="dxa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بلی(5 امتیاز)</w:t>
            </w:r>
          </w:p>
        </w:tc>
        <w:tc>
          <w:tcPr>
            <w:tcW w:w="3180" w:type="dxa"/>
            <w:vMerge w:val="restart"/>
            <w:hideMark/>
          </w:tcPr>
          <w:p w:rsidR="007A3B62" w:rsidRPr="00DA0454" w:rsidRDefault="007A3B62" w:rsidP="007A3B62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 مستندات کتبی ارسال پاسخ و اقدامات انجام شده</w:t>
            </w:r>
          </w:p>
        </w:tc>
        <w:tc>
          <w:tcPr>
            <w:tcW w:w="935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7A3B62" w:rsidRPr="00DA0454" w:rsidRDefault="007A3B62" w:rsidP="007A3B62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A045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5</w:t>
            </w: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7A3B62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تاحدودی(3 امتیاز)</w:t>
            </w:r>
          </w:p>
        </w:tc>
        <w:tc>
          <w:tcPr>
            <w:tcW w:w="318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</w:tr>
      <w:tr w:rsidR="007A3B62" w:rsidRPr="007A3B62" w:rsidTr="007A3B6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7A3B62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خیر(0 امتیاز)</w:t>
            </w:r>
          </w:p>
        </w:tc>
        <w:tc>
          <w:tcPr>
            <w:tcW w:w="3180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sz w:val="18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hideMark/>
          </w:tcPr>
          <w:p w:rsidR="007A3B62" w:rsidRPr="007A3B62" w:rsidRDefault="007A3B62" w:rsidP="007A3B6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</w:p>
        </w:tc>
      </w:tr>
    </w:tbl>
    <w:p w:rsidR="00BF573F" w:rsidRPr="001A25D0" w:rsidRDefault="00BF573F" w:rsidP="001A25D0">
      <w:pPr>
        <w:tabs>
          <w:tab w:val="left" w:pos="5235"/>
        </w:tabs>
        <w:jc w:val="right"/>
        <w:rPr>
          <w:rFonts w:cs="B Nazanin"/>
          <w:sz w:val="24"/>
          <w:szCs w:val="24"/>
        </w:rPr>
      </w:pPr>
    </w:p>
    <w:sectPr w:rsidR="00BF573F" w:rsidRPr="001A25D0" w:rsidSect="001A25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0"/>
    <w:rsid w:val="00121D52"/>
    <w:rsid w:val="001A25D0"/>
    <w:rsid w:val="002A38BD"/>
    <w:rsid w:val="007A3B62"/>
    <w:rsid w:val="00AA2BF9"/>
    <w:rsid w:val="00BF573F"/>
    <w:rsid w:val="00D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D449-A95F-42C8-854B-8CC4631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jafari</dc:creator>
  <cp:keywords/>
  <dc:description/>
  <cp:lastModifiedBy>sahar jafari</cp:lastModifiedBy>
  <cp:revision>11</cp:revision>
  <cp:lastPrinted>2024-07-31T04:33:00Z</cp:lastPrinted>
  <dcterms:created xsi:type="dcterms:W3CDTF">2024-07-31T04:25:00Z</dcterms:created>
  <dcterms:modified xsi:type="dcterms:W3CDTF">2024-07-31T04:47:00Z</dcterms:modified>
</cp:coreProperties>
</file>